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30A" w:rsidRDefault="0066530A">
      <w:pPr>
        <w:pStyle w:val="Textoindependiente2"/>
        <w:rPr>
          <w:color w:val="003874"/>
          <w:u w:val="single"/>
        </w:rPr>
      </w:pPr>
      <w:permStart w:id="954665131" w:edGrp="everyone"/>
      <w:permEnd w:id="954665131"/>
    </w:p>
    <w:p w:rsidR="00C23918" w:rsidRDefault="00C23918">
      <w:pPr>
        <w:pStyle w:val="Textoindependiente2"/>
        <w:rPr>
          <w:color w:val="003874"/>
          <w:u w:val="single"/>
        </w:rPr>
      </w:pPr>
      <w:r>
        <w:rPr>
          <w:color w:val="003874"/>
          <w:u w:val="single"/>
        </w:rPr>
        <w:t>LINE</w:t>
      </w:r>
      <w:r w:rsidR="00931B29">
        <w:rPr>
          <w:color w:val="003874"/>
          <w:u w:val="single"/>
        </w:rPr>
        <w:t>AMIENTOS GENERALES  FO</w:t>
      </w:r>
      <w:r w:rsidR="00D61F8B">
        <w:rPr>
          <w:color w:val="003874"/>
          <w:u w:val="single"/>
        </w:rPr>
        <w:t>.</w:t>
      </w:r>
      <w:r w:rsidR="00931B29">
        <w:rPr>
          <w:color w:val="003874"/>
          <w:u w:val="single"/>
        </w:rPr>
        <w:t>MICRO</w:t>
      </w:r>
      <w:r w:rsidR="00D61F8B">
        <w:rPr>
          <w:color w:val="003874"/>
          <w:u w:val="single"/>
        </w:rPr>
        <w:t>.</w:t>
      </w:r>
    </w:p>
    <w:p w:rsidR="00C23918" w:rsidRDefault="00C23918">
      <w:pPr>
        <w:spacing w:before="100" w:beforeAutospacing="1"/>
        <w:jc w:val="both"/>
        <w:rPr>
          <w:rFonts w:ascii="Arial" w:hAnsi="Arial" w:cs="Arial"/>
          <w:b/>
          <w:color w:val="003874"/>
          <w:sz w:val="22"/>
        </w:rPr>
      </w:pPr>
      <w:r>
        <w:rPr>
          <w:rFonts w:ascii="Arial" w:hAnsi="Arial" w:cs="Arial"/>
          <w:b/>
          <w:color w:val="003874"/>
          <w:sz w:val="22"/>
        </w:rPr>
        <w:t>PROYECTOS:</w:t>
      </w:r>
    </w:p>
    <w:p w:rsidR="00C23918" w:rsidRPr="000F233E" w:rsidRDefault="00C23918" w:rsidP="000F233E">
      <w:pPr>
        <w:pStyle w:val="Prrafodelista"/>
        <w:numPr>
          <w:ilvl w:val="0"/>
          <w:numId w:val="6"/>
        </w:numPr>
        <w:spacing w:before="100" w:beforeAutospacing="1"/>
        <w:jc w:val="both"/>
        <w:rPr>
          <w:rFonts w:ascii="Arial" w:hAnsi="Arial" w:cs="Arial"/>
          <w:b/>
          <w:color w:val="003874"/>
          <w:sz w:val="22"/>
        </w:rPr>
      </w:pPr>
      <w:r w:rsidRPr="000F233E">
        <w:rPr>
          <w:rFonts w:ascii="Arial" w:hAnsi="Arial" w:cs="Arial"/>
          <w:b/>
          <w:color w:val="003874"/>
          <w:sz w:val="22"/>
        </w:rPr>
        <w:t>CRITERIOS DE SELECCIÓN</w:t>
      </w:r>
    </w:p>
    <w:p w:rsidR="000F233E" w:rsidRPr="000F233E" w:rsidRDefault="000F233E" w:rsidP="000F233E">
      <w:pPr>
        <w:pStyle w:val="Prrafodelista"/>
        <w:spacing w:before="100" w:beforeAutospacing="1"/>
        <w:jc w:val="both"/>
        <w:rPr>
          <w:rFonts w:ascii="Arial" w:hAnsi="Arial" w:cs="Arial"/>
          <w:b/>
          <w:color w:val="003874"/>
          <w:sz w:val="22"/>
        </w:rPr>
      </w:pPr>
    </w:p>
    <w:p w:rsidR="00C23918" w:rsidRDefault="00C23918">
      <w:pPr>
        <w:jc w:val="both"/>
        <w:rPr>
          <w:rFonts w:ascii="Arial" w:hAnsi="Arial" w:cs="Arial"/>
          <w:color w:val="000000"/>
          <w:sz w:val="22"/>
        </w:rPr>
      </w:pPr>
      <w:r>
        <w:rPr>
          <w:rFonts w:ascii="Arial" w:hAnsi="Arial" w:cs="Arial"/>
          <w:color w:val="000000"/>
          <w:sz w:val="22"/>
        </w:rPr>
        <w:t>Los proyectos deberán demostrar factibilidad técnico económica y tener por objeto la consolidación de unidades productivas en marcha y que resulten sustentables.</w:t>
      </w:r>
    </w:p>
    <w:p w:rsidR="00C23918" w:rsidRDefault="00C23918">
      <w:pPr>
        <w:jc w:val="both"/>
        <w:rPr>
          <w:rFonts w:ascii="Arial" w:hAnsi="Arial" w:cs="Arial"/>
          <w:color w:val="000000"/>
          <w:sz w:val="22"/>
        </w:rPr>
      </w:pPr>
    </w:p>
    <w:p w:rsidR="00C23918" w:rsidRPr="000F233E" w:rsidRDefault="00C23918" w:rsidP="000F233E">
      <w:pPr>
        <w:pStyle w:val="Prrafodelista"/>
        <w:numPr>
          <w:ilvl w:val="0"/>
          <w:numId w:val="6"/>
        </w:numPr>
        <w:jc w:val="both"/>
        <w:rPr>
          <w:rFonts w:ascii="Arial" w:hAnsi="Arial" w:cs="Arial"/>
          <w:b/>
          <w:color w:val="003874"/>
          <w:sz w:val="22"/>
        </w:rPr>
      </w:pPr>
      <w:r w:rsidRPr="000F233E">
        <w:rPr>
          <w:rFonts w:ascii="Arial" w:hAnsi="Arial" w:cs="Arial"/>
          <w:b/>
          <w:color w:val="003874"/>
          <w:sz w:val="22"/>
        </w:rPr>
        <w:t>BENEFICIARIOS</w:t>
      </w:r>
    </w:p>
    <w:p w:rsidR="000F233E" w:rsidRPr="000F233E" w:rsidRDefault="000F233E" w:rsidP="000F233E">
      <w:pPr>
        <w:pStyle w:val="Prrafodelista"/>
        <w:jc w:val="both"/>
        <w:rPr>
          <w:rFonts w:ascii="Arial" w:hAnsi="Arial" w:cs="Arial"/>
          <w:b/>
          <w:sz w:val="22"/>
        </w:rPr>
      </w:pPr>
    </w:p>
    <w:p w:rsidR="00C23918" w:rsidRDefault="00C23918">
      <w:pPr>
        <w:ind w:firstLine="360"/>
        <w:jc w:val="both"/>
        <w:rPr>
          <w:rFonts w:ascii="Arial" w:hAnsi="Arial" w:cs="Arial"/>
          <w:sz w:val="22"/>
          <w:u w:val="single"/>
        </w:rPr>
      </w:pPr>
      <w:r>
        <w:rPr>
          <w:rFonts w:ascii="Arial" w:hAnsi="Arial" w:cs="Arial"/>
          <w:sz w:val="22"/>
        </w:rPr>
        <w:t xml:space="preserve">Microempresas, bajo cualquier forma societaria o unipersonal, que presenten un proyecto de inversión </w:t>
      </w:r>
      <w:r w:rsidR="00D61F8B">
        <w:rPr>
          <w:rFonts w:ascii="Arial" w:hAnsi="Arial" w:cs="Arial"/>
          <w:sz w:val="22"/>
        </w:rPr>
        <w:t xml:space="preserve">preferentemente </w:t>
      </w:r>
      <w:r>
        <w:rPr>
          <w:rFonts w:ascii="Arial" w:hAnsi="Arial" w:cs="Arial"/>
          <w:sz w:val="22"/>
        </w:rPr>
        <w:t xml:space="preserve">a través de las Organizaciones de la Sociedad Civil (OSC) debidamente acreditadas ante el Programa. El rol de las OSC </w:t>
      </w:r>
      <w:r>
        <w:rPr>
          <w:rFonts w:ascii="Arial" w:hAnsi="Arial" w:cs="Arial"/>
          <w:sz w:val="22"/>
          <w:u w:val="single"/>
        </w:rPr>
        <w:t>es avalar la pertinencia y solidez del proyecto que se presenta y ser la responsable ante el Programa de su seguimiento.</w:t>
      </w:r>
    </w:p>
    <w:p w:rsidR="00C23918" w:rsidRDefault="00C23918">
      <w:pPr>
        <w:pStyle w:val="Textoindependiente"/>
        <w:spacing w:before="0" w:beforeAutospacing="0"/>
        <w:ind w:firstLine="360"/>
      </w:pPr>
      <w:r>
        <w:t xml:space="preserve">Es requisito que los solicitantes </w:t>
      </w:r>
      <w:r>
        <w:rPr>
          <w:u w:val="single"/>
        </w:rPr>
        <w:t>no</w:t>
      </w:r>
      <w:r>
        <w:t xml:space="preserve"> tengan deudas crediticias comerciales vigentes con el sistema financiero (excluidos préstamos personales para consumo, hipotecarios para compra de vivienda y tarjeta de crédito, según declaración jurada del cliente u otra comprobación que se estime pertinente).</w:t>
      </w:r>
    </w:p>
    <w:p w:rsidR="00C23918" w:rsidRDefault="00C23918">
      <w:pPr>
        <w:pStyle w:val="Sangradetextonormal"/>
      </w:pPr>
      <w:r>
        <w:t>Los solicitantes no deberán registrar antecedentes negativos judiciales ni comerciales en el sistema financiero.</w:t>
      </w:r>
    </w:p>
    <w:p w:rsidR="00C23918" w:rsidRDefault="00C23918">
      <w:pPr>
        <w:spacing w:before="100" w:beforeAutospacing="1"/>
        <w:jc w:val="both"/>
        <w:rPr>
          <w:rFonts w:ascii="Arial" w:hAnsi="Arial" w:cs="Arial"/>
          <w:b/>
          <w:color w:val="003874"/>
          <w:sz w:val="22"/>
        </w:rPr>
      </w:pPr>
      <w:r>
        <w:rPr>
          <w:rFonts w:ascii="Arial" w:hAnsi="Arial" w:cs="Arial"/>
          <w:b/>
          <w:color w:val="003874"/>
          <w:sz w:val="22"/>
        </w:rPr>
        <w:t>3. PRESENTACIÓN DE SOLICITUDES Y SU TRATAMIENTO - GESTIÓN DE LAS ENTIDADES DE APOYO/ORGANIZACIONES DE LA SOCIEDAD CIVIL (OSC)</w:t>
      </w:r>
    </w:p>
    <w:p w:rsidR="00C23918" w:rsidRDefault="00C23918">
      <w:pPr>
        <w:numPr>
          <w:ilvl w:val="0"/>
          <w:numId w:val="2"/>
        </w:numPr>
        <w:spacing w:before="100" w:beforeAutospacing="1"/>
        <w:ind w:left="714" w:hanging="357"/>
        <w:jc w:val="both"/>
        <w:rPr>
          <w:rFonts w:ascii="Arial" w:hAnsi="Arial" w:cs="Arial"/>
          <w:color w:val="000000"/>
          <w:sz w:val="22"/>
        </w:rPr>
      </w:pPr>
      <w:r>
        <w:rPr>
          <w:rFonts w:ascii="Arial" w:hAnsi="Arial" w:cs="Arial"/>
          <w:color w:val="000000"/>
          <w:sz w:val="22"/>
        </w:rPr>
        <w:t xml:space="preserve">Recibir las solicitudes de financiamiento que presenten los potenciales usuarios del mismo. </w:t>
      </w:r>
    </w:p>
    <w:p w:rsidR="00C23918" w:rsidRDefault="00C23918">
      <w:pPr>
        <w:numPr>
          <w:ilvl w:val="0"/>
          <w:numId w:val="2"/>
        </w:numPr>
        <w:spacing w:before="100" w:beforeAutospacing="1"/>
        <w:jc w:val="both"/>
        <w:rPr>
          <w:rFonts w:ascii="Arial" w:hAnsi="Arial" w:cs="Arial"/>
          <w:color w:val="000000"/>
          <w:sz w:val="22"/>
        </w:rPr>
      </w:pPr>
      <w:r>
        <w:rPr>
          <w:rFonts w:ascii="Arial" w:hAnsi="Arial" w:cs="Arial"/>
          <w:color w:val="000000"/>
          <w:sz w:val="22"/>
        </w:rPr>
        <w:t>Colaborar en la integración de los formularios y la provisión de datos requeridos para el análisis de los proyectos.</w:t>
      </w:r>
    </w:p>
    <w:p w:rsidR="00C23918" w:rsidRDefault="00C23918">
      <w:pPr>
        <w:numPr>
          <w:ilvl w:val="0"/>
          <w:numId w:val="2"/>
        </w:numPr>
        <w:spacing w:before="100" w:beforeAutospacing="1"/>
        <w:jc w:val="both"/>
        <w:rPr>
          <w:rFonts w:ascii="Arial" w:hAnsi="Arial" w:cs="Arial"/>
          <w:color w:val="000000"/>
          <w:sz w:val="22"/>
        </w:rPr>
      </w:pPr>
      <w:r>
        <w:rPr>
          <w:rFonts w:ascii="Arial" w:hAnsi="Arial" w:cs="Arial"/>
          <w:color w:val="000000"/>
          <w:sz w:val="22"/>
        </w:rPr>
        <w:t>Elevar los formularios al programa.</w:t>
      </w:r>
    </w:p>
    <w:p w:rsidR="00C23918" w:rsidRDefault="00C23918">
      <w:pPr>
        <w:numPr>
          <w:ilvl w:val="0"/>
          <w:numId w:val="2"/>
        </w:numPr>
        <w:spacing w:before="100" w:beforeAutospacing="1"/>
        <w:jc w:val="both"/>
        <w:rPr>
          <w:rFonts w:ascii="Arial" w:hAnsi="Arial" w:cs="Arial"/>
          <w:color w:val="000000"/>
          <w:sz w:val="22"/>
        </w:rPr>
      </w:pPr>
      <w:r>
        <w:rPr>
          <w:rFonts w:ascii="Arial" w:hAnsi="Arial" w:cs="Arial"/>
          <w:sz w:val="22"/>
        </w:rPr>
        <w:t>Ser responsable del seguimiento del proyecto como mínimo el primer año desde la contabilización del crédito.</w:t>
      </w:r>
    </w:p>
    <w:p w:rsidR="00C23918" w:rsidRDefault="00C23918">
      <w:pPr>
        <w:pStyle w:val="Ttulo2"/>
        <w:rPr>
          <w:color w:val="003874"/>
        </w:rPr>
      </w:pPr>
      <w:r>
        <w:rPr>
          <w:color w:val="003874"/>
        </w:rPr>
        <w:t>4. CONDICIONES DE FINANCIAMIENTO</w:t>
      </w:r>
    </w:p>
    <w:p w:rsidR="00C23918" w:rsidRDefault="00C23918">
      <w:pPr>
        <w:spacing w:before="100" w:beforeAutospacing="1"/>
        <w:jc w:val="both"/>
        <w:rPr>
          <w:rFonts w:ascii="Arial" w:hAnsi="Arial" w:cs="Arial"/>
          <w:sz w:val="22"/>
        </w:rPr>
      </w:pPr>
      <w:r>
        <w:rPr>
          <w:rFonts w:ascii="Arial" w:hAnsi="Arial" w:cs="Arial"/>
          <w:b/>
          <w:color w:val="003874"/>
          <w:sz w:val="22"/>
        </w:rPr>
        <w:t>4.1. MONTO MÁXIMO:</w:t>
      </w:r>
      <w:r>
        <w:rPr>
          <w:rFonts w:ascii="Arial" w:hAnsi="Arial" w:cs="Arial"/>
          <w:sz w:val="22"/>
        </w:rPr>
        <w:t xml:space="preserve"> $ 40.000, IVA incluido.</w:t>
      </w:r>
    </w:p>
    <w:p w:rsidR="00C23918" w:rsidRDefault="00C23918">
      <w:pPr>
        <w:spacing w:before="100" w:beforeAutospacing="1"/>
        <w:jc w:val="both"/>
        <w:rPr>
          <w:rFonts w:ascii="Arial" w:hAnsi="Arial" w:cs="Arial"/>
          <w:sz w:val="22"/>
        </w:rPr>
      </w:pPr>
      <w:r>
        <w:rPr>
          <w:rFonts w:ascii="Arial" w:hAnsi="Arial" w:cs="Arial"/>
          <w:b/>
          <w:color w:val="003874"/>
          <w:sz w:val="22"/>
        </w:rPr>
        <w:t>4.2. PLAZO:</w:t>
      </w:r>
      <w:r>
        <w:rPr>
          <w:rFonts w:ascii="Arial" w:hAnsi="Arial" w:cs="Arial"/>
          <w:b/>
          <w:sz w:val="22"/>
        </w:rPr>
        <w:t xml:space="preserve"> </w:t>
      </w:r>
      <w:r>
        <w:rPr>
          <w:rFonts w:ascii="Arial" w:hAnsi="Arial" w:cs="Arial"/>
          <w:sz w:val="22"/>
        </w:rPr>
        <w:t>hasta cuarenta y ocho (48) meses.</w:t>
      </w:r>
    </w:p>
    <w:p w:rsidR="00C23918" w:rsidRDefault="00C23918">
      <w:pPr>
        <w:spacing w:before="100" w:beforeAutospacing="1"/>
        <w:jc w:val="both"/>
        <w:rPr>
          <w:rFonts w:ascii="Arial" w:hAnsi="Arial" w:cs="Arial"/>
          <w:b/>
          <w:color w:val="003874"/>
          <w:sz w:val="22"/>
        </w:rPr>
      </w:pPr>
      <w:r>
        <w:rPr>
          <w:rFonts w:ascii="Arial" w:hAnsi="Arial" w:cs="Arial"/>
          <w:b/>
          <w:color w:val="003874"/>
          <w:sz w:val="22"/>
        </w:rPr>
        <w:t>4.3. RÉGIMEN DE AMORTIZACIÓN</w:t>
      </w:r>
    </w:p>
    <w:p w:rsidR="00C23918" w:rsidRDefault="00C23918">
      <w:pPr>
        <w:pStyle w:val="Textoindependiente"/>
        <w:spacing w:before="0" w:beforeAutospacing="0"/>
      </w:pPr>
      <w:r>
        <w:t xml:space="preserve">Se liquidará mediante el sistema francés o alemán, según corresponda. La periodicidad del pago de las amortizaciones de capital se </w:t>
      </w:r>
      <w:r w:rsidR="001A6141">
        <w:t>pactará</w:t>
      </w:r>
      <w:r w:rsidR="000D3919">
        <w:t>n</w:t>
      </w:r>
      <w:r>
        <w:t xml:space="preserve"> con el cliente de acuerdo con el </w:t>
      </w:r>
      <w:r>
        <w:lastRenderedPageBreak/>
        <w:t>flujo de fondos y conforme a la estacionalidad de sus ingresos, pudiendo ser mensual, trimestral o semestral.</w:t>
      </w:r>
    </w:p>
    <w:p w:rsidR="00C23918" w:rsidRDefault="00C23918">
      <w:pPr>
        <w:jc w:val="both"/>
        <w:rPr>
          <w:rFonts w:ascii="Arial" w:hAnsi="Arial" w:cs="Arial"/>
          <w:sz w:val="22"/>
        </w:rPr>
      </w:pPr>
      <w:r>
        <w:rPr>
          <w:rFonts w:ascii="Arial" w:hAnsi="Arial" w:cs="Arial"/>
          <w:sz w:val="22"/>
        </w:rPr>
        <w:t>El pago de intereses se producirá con una periodicidad igual o menor que la pactada para la amortización del capital, a solo juicio de la instancia crediticia.</w:t>
      </w:r>
    </w:p>
    <w:p w:rsidR="000F233E" w:rsidRDefault="000F233E">
      <w:pPr>
        <w:jc w:val="both"/>
        <w:rPr>
          <w:rFonts w:ascii="Arial" w:hAnsi="Arial" w:cs="Arial"/>
          <w:sz w:val="22"/>
        </w:rPr>
      </w:pPr>
    </w:p>
    <w:p w:rsidR="00C23918" w:rsidRDefault="00C23918">
      <w:pPr>
        <w:spacing w:before="100" w:beforeAutospacing="1"/>
        <w:jc w:val="both"/>
        <w:rPr>
          <w:rFonts w:ascii="Arial" w:hAnsi="Arial" w:cs="Arial"/>
          <w:sz w:val="22"/>
        </w:rPr>
      </w:pPr>
      <w:r>
        <w:rPr>
          <w:rFonts w:ascii="Arial" w:hAnsi="Arial" w:cs="Arial"/>
          <w:b/>
          <w:color w:val="003874"/>
          <w:sz w:val="22"/>
        </w:rPr>
        <w:t>4.4. PERIODO DE GRACIA:</w:t>
      </w:r>
      <w:r>
        <w:rPr>
          <w:rFonts w:ascii="Arial" w:hAnsi="Arial" w:cs="Arial"/>
          <w:b/>
          <w:sz w:val="22"/>
        </w:rPr>
        <w:t xml:space="preserve"> </w:t>
      </w:r>
      <w:r>
        <w:rPr>
          <w:rFonts w:ascii="Arial" w:hAnsi="Arial" w:cs="Arial"/>
          <w:sz w:val="22"/>
        </w:rPr>
        <w:t>en líneas generales hasta 180 días. Podrá considerarse, a criterio de la instancia crediticia, un periodo de hasta 12 meses de acuerdo al ciclo comercial del proyecto que se financia.  El vencimiento de la primera cuota de amortización tendrá lugar al mes, trimestre o semestre posterior a la fecha de finalización del período de gracia.</w:t>
      </w:r>
    </w:p>
    <w:p w:rsidR="00C23918" w:rsidRDefault="00C23918">
      <w:pPr>
        <w:pStyle w:val="Textoindependiente"/>
        <w:spacing w:before="0" w:beforeAutospacing="0"/>
      </w:pPr>
      <w:r>
        <w:t>En ningún caso habrá período de gracia para pago de intereses.</w:t>
      </w:r>
    </w:p>
    <w:p w:rsidR="000F233E" w:rsidRDefault="000F233E">
      <w:pPr>
        <w:pStyle w:val="Textoindependiente"/>
        <w:spacing w:before="0" w:beforeAutospacing="0"/>
      </w:pPr>
    </w:p>
    <w:p w:rsidR="00C23918" w:rsidRDefault="00C23918">
      <w:pPr>
        <w:spacing w:before="100" w:beforeAutospacing="1"/>
        <w:jc w:val="both"/>
        <w:rPr>
          <w:rFonts w:ascii="Arial" w:hAnsi="Arial" w:cs="Arial"/>
          <w:b/>
          <w:color w:val="003874"/>
          <w:sz w:val="22"/>
        </w:rPr>
      </w:pPr>
      <w:r>
        <w:rPr>
          <w:rFonts w:ascii="Arial" w:hAnsi="Arial" w:cs="Arial"/>
          <w:b/>
          <w:color w:val="003874"/>
          <w:sz w:val="22"/>
        </w:rPr>
        <w:t>4.5. GARANTÍAS</w:t>
      </w:r>
    </w:p>
    <w:p w:rsidR="00C23918" w:rsidRDefault="00C23918">
      <w:pPr>
        <w:jc w:val="both"/>
        <w:rPr>
          <w:rFonts w:ascii="Arial" w:hAnsi="Arial" w:cs="Arial"/>
          <w:sz w:val="22"/>
        </w:rPr>
      </w:pPr>
      <w:r>
        <w:rPr>
          <w:rFonts w:ascii="Arial" w:hAnsi="Arial" w:cs="Arial"/>
          <w:sz w:val="22"/>
        </w:rPr>
        <w:t>En general a sola firma, a satisfacción del Comité Operativo (Gerencia de Desarrollo Productivo).</w:t>
      </w:r>
    </w:p>
    <w:p w:rsidR="000F233E" w:rsidRDefault="000F233E">
      <w:pPr>
        <w:jc w:val="both"/>
        <w:rPr>
          <w:rFonts w:ascii="Arial" w:hAnsi="Arial" w:cs="Arial"/>
          <w:sz w:val="22"/>
        </w:rPr>
      </w:pPr>
    </w:p>
    <w:p w:rsidR="000F233E" w:rsidRDefault="00C23918">
      <w:pPr>
        <w:spacing w:before="100" w:beforeAutospacing="1"/>
        <w:jc w:val="both"/>
        <w:rPr>
          <w:rFonts w:ascii="Arial" w:hAnsi="Arial" w:cs="Arial"/>
          <w:b/>
          <w:color w:val="003874"/>
          <w:sz w:val="22"/>
        </w:rPr>
      </w:pPr>
      <w:r>
        <w:rPr>
          <w:rFonts w:ascii="Arial" w:hAnsi="Arial" w:cs="Arial"/>
          <w:b/>
          <w:color w:val="003874"/>
          <w:sz w:val="22"/>
        </w:rPr>
        <w:t>4.6. INTERÉS</w:t>
      </w:r>
    </w:p>
    <w:p w:rsidR="00C23918" w:rsidRDefault="00C23918">
      <w:pPr>
        <w:jc w:val="both"/>
        <w:rPr>
          <w:rFonts w:ascii="Arial" w:hAnsi="Arial" w:cs="Arial"/>
          <w:sz w:val="22"/>
        </w:rPr>
      </w:pPr>
      <w:r>
        <w:rPr>
          <w:rFonts w:ascii="Arial" w:hAnsi="Arial" w:cs="Arial"/>
          <w:sz w:val="22"/>
        </w:rPr>
        <w:t>Será equivalente al 50% de la tasa de interés activa de cartera general para operaciones en pesos, vigente en el Banco de la Nación Argentina, con sus oscilaciones a través del tiempo en el caso de que no participe ningún Organismo que contribuya a la bonificación de dicha tas</w:t>
      </w:r>
      <w:r w:rsidR="00931B29">
        <w:rPr>
          <w:rFonts w:ascii="Arial" w:hAnsi="Arial" w:cs="Arial"/>
          <w:sz w:val="22"/>
        </w:rPr>
        <w:t xml:space="preserve">a. </w:t>
      </w:r>
      <w:r w:rsidR="00323D88">
        <w:rPr>
          <w:rFonts w:ascii="Arial" w:hAnsi="Arial" w:cs="Arial"/>
          <w:sz w:val="22"/>
        </w:rPr>
        <w:t>Actualmente de 12,50% TNA.</w:t>
      </w:r>
    </w:p>
    <w:p w:rsidR="000F233E" w:rsidRDefault="000F233E">
      <w:pPr>
        <w:jc w:val="both"/>
        <w:rPr>
          <w:rFonts w:ascii="Arial" w:hAnsi="Arial" w:cs="Arial"/>
          <w:sz w:val="22"/>
        </w:rPr>
      </w:pPr>
    </w:p>
    <w:p w:rsidR="000F233E" w:rsidRDefault="00C23918">
      <w:pPr>
        <w:spacing w:before="100" w:beforeAutospacing="1"/>
        <w:jc w:val="both"/>
        <w:rPr>
          <w:rFonts w:ascii="Arial" w:hAnsi="Arial" w:cs="Arial"/>
          <w:b/>
          <w:color w:val="003874"/>
          <w:sz w:val="22"/>
        </w:rPr>
      </w:pPr>
      <w:r>
        <w:rPr>
          <w:rFonts w:ascii="Arial" w:hAnsi="Arial" w:cs="Arial"/>
          <w:b/>
          <w:color w:val="003874"/>
          <w:sz w:val="22"/>
        </w:rPr>
        <w:t>4.7. DESTINO</w:t>
      </w:r>
    </w:p>
    <w:p w:rsidR="00C23918" w:rsidRDefault="00C23918">
      <w:pPr>
        <w:jc w:val="both"/>
        <w:rPr>
          <w:rFonts w:ascii="Arial" w:hAnsi="Arial" w:cs="Arial"/>
          <w:sz w:val="22"/>
        </w:rPr>
      </w:pPr>
      <w:r>
        <w:rPr>
          <w:rFonts w:ascii="Arial" w:hAnsi="Arial" w:cs="Arial"/>
          <w:sz w:val="22"/>
        </w:rPr>
        <w:t>Financiar microemprendimientos, pudiendo asistirse inversiones en general y capital de trabajo asociado a la misma, con IVA incluido.</w:t>
      </w:r>
    </w:p>
    <w:p w:rsidR="00C23918" w:rsidRDefault="00C23918">
      <w:pPr>
        <w:jc w:val="both"/>
        <w:rPr>
          <w:rFonts w:ascii="Arial" w:hAnsi="Arial" w:cs="Arial"/>
          <w:sz w:val="22"/>
        </w:rPr>
      </w:pPr>
      <w:r>
        <w:rPr>
          <w:rFonts w:ascii="Arial" w:hAnsi="Arial" w:cs="Arial"/>
          <w:sz w:val="22"/>
        </w:rPr>
        <w:t>Se podrá financiar:</w:t>
      </w:r>
    </w:p>
    <w:p w:rsidR="00C23918" w:rsidRDefault="00C23918">
      <w:pPr>
        <w:jc w:val="both"/>
        <w:rPr>
          <w:rFonts w:ascii="Arial" w:hAnsi="Arial" w:cs="Arial"/>
          <w:sz w:val="22"/>
        </w:rPr>
      </w:pPr>
      <w:r>
        <w:rPr>
          <w:rFonts w:ascii="Arial" w:hAnsi="Arial" w:cs="Arial"/>
          <w:sz w:val="22"/>
        </w:rPr>
        <w:t xml:space="preserve">1) </w:t>
      </w:r>
      <w:r w:rsidR="00247ED7">
        <w:rPr>
          <w:rFonts w:ascii="Arial" w:hAnsi="Arial" w:cs="Arial"/>
          <w:sz w:val="22"/>
        </w:rPr>
        <w:t xml:space="preserve">  </w:t>
      </w:r>
      <w:r>
        <w:rPr>
          <w:rFonts w:ascii="Arial" w:hAnsi="Arial" w:cs="Arial"/>
          <w:sz w:val="22"/>
        </w:rPr>
        <w:t xml:space="preserve">Adquisición de bienes de </w:t>
      </w:r>
      <w:r w:rsidR="002867DA">
        <w:rPr>
          <w:rFonts w:ascii="Arial" w:hAnsi="Arial" w:cs="Arial"/>
          <w:sz w:val="22"/>
        </w:rPr>
        <w:t>capital de origen nacional, nuevo o usado</w:t>
      </w:r>
      <w:r>
        <w:rPr>
          <w:rFonts w:ascii="Arial" w:hAnsi="Arial" w:cs="Arial"/>
          <w:sz w:val="22"/>
        </w:rPr>
        <w:t>.</w:t>
      </w:r>
    </w:p>
    <w:p w:rsidR="00C23918" w:rsidRDefault="00C23918">
      <w:pPr>
        <w:jc w:val="both"/>
        <w:rPr>
          <w:rFonts w:ascii="Arial" w:hAnsi="Arial" w:cs="Arial"/>
          <w:sz w:val="22"/>
        </w:rPr>
      </w:pPr>
      <w:r>
        <w:rPr>
          <w:rFonts w:ascii="Arial" w:hAnsi="Arial" w:cs="Arial"/>
          <w:sz w:val="22"/>
        </w:rPr>
        <w:t>2) Adquisición de bienes de capital de origen extranjero, adquiridos en plaza ya nacionalizados, nuevos o usados.</w:t>
      </w:r>
    </w:p>
    <w:p w:rsidR="00C23918" w:rsidRDefault="00C23918">
      <w:pPr>
        <w:jc w:val="both"/>
        <w:rPr>
          <w:rFonts w:ascii="Arial" w:hAnsi="Arial" w:cs="Arial"/>
          <w:sz w:val="22"/>
        </w:rPr>
      </w:pPr>
      <w:r>
        <w:rPr>
          <w:rFonts w:ascii="Arial" w:hAnsi="Arial" w:cs="Arial"/>
          <w:sz w:val="22"/>
        </w:rPr>
        <w:t xml:space="preserve">3) </w:t>
      </w:r>
      <w:r w:rsidR="00D02629">
        <w:rPr>
          <w:rFonts w:ascii="Arial" w:hAnsi="Arial" w:cs="Arial"/>
          <w:sz w:val="22"/>
        </w:rPr>
        <w:t xml:space="preserve"> </w:t>
      </w:r>
      <w:r>
        <w:rPr>
          <w:rFonts w:ascii="Arial" w:hAnsi="Arial" w:cs="Arial"/>
          <w:sz w:val="22"/>
        </w:rPr>
        <w:t>Instalación y/o montaje y accesorios requeridos para la puesta en marcha de los bienes de capital.</w:t>
      </w:r>
    </w:p>
    <w:p w:rsidR="00C23918" w:rsidRDefault="00C23918">
      <w:pPr>
        <w:jc w:val="both"/>
        <w:rPr>
          <w:rFonts w:ascii="Arial" w:hAnsi="Arial" w:cs="Arial"/>
          <w:sz w:val="22"/>
        </w:rPr>
      </w:pPr>
      <w:r>
        <w:rPr>
          <w:rFonts w:ascii="Arial" w:hAnsi="Arial" w:cs="Arial"/>
          <w:sz w:val="22"/>
        </w:rPr>
        <w:t xml:space="preserve">4) </w:t>
      </w:r>
      <w:r w:rsidR="00D02629">
        <w:rPr>
          <w:rFonts w:ascii="Arial" w:hAnsi="Arial" w:cs="Arial"/>
          <w:sz w:val="22"/>
        </w:rPr>
        <w:t xml:space="preserve"> </w:t>
      </w:r>
      <w:r>
        <w:rPr>
          <w:rFonts w:ascii="Arial" w:hAnsi="Arial" w:cs="Arial"/>
          <w:sz w:val="22"/>
        </w:rPr>
        <w:t xml:space="preserve">Otras inversiones en general (como construcciones, galpones, alambrados, mejoras, reproductores de cualquier especie, etc.) </w:t>
      </w:r>
    </w:p>
    <w:p w:rsidR="00672E10" w:rsidRDefault="00672E10">
      <w:pPr>
        <w:jc w:val="both"/>
        <w:rPr>
          <w:rFonts w:ascii="Arial" w:hAnsi="Arial" w:cs="Arial"/>
          <w:sz w:val="22"/>
        </w:rPr>
      </w:pPr>
      <w:r>
        <w:rPr>
          <w:rFonts w:ascii="Arial" w:hAnsi="Arial" w:cs="Arial"/>
          <w:sz w:val="22"/>
        </w:rPr>
        <w:t>5) Capital de trabajo asociado a la inversión</w:t>
      </w:r>
      <w:r w:rsidR="001A7521">
        <w:rPr>
          <w:rFonts w:ascii="Arial" w:hAnsi="Arial" w:cs="Arial"/>
          <w:sz w:val="22"/>
        </w:rPr>
        <w:t>.</w:t>
      </w:r>
    </w:p>
    <w:p w:rsidR="000F233E" w:rsidRDefault="000F233E">
      <w:pPr>
        <w:jc w:val="both"/>
        <w:rPr>
          <w:rFonts w:ascii="Arial" w:hAnsi="Arial" w:cs="Arial"/>
          <w:sz w:val="22"/>
        </w:rPr>
      </w:pPr>
    </w:p>
    <w:p w:rsidR="000F233E" w:rsidRDefault="000F233E">
      <w:pPr>
        <w:jc w:val="both"/>
        <w:rPr>
          <w:rFonts w:ascii="Arial" w:hAnsi="Arial" w:cs="Arial"/>
          <w:sz w:val="22"/>
        </w:rPr>
      </w:pPr>
    </w:p>
    <w:p w:rsidR="000F233E" w:rsidRDefault="000F233E">
      <w:pPr>
        <w:jc w:val="both"/>
        <w:rPr>
          <w:rFonts w:ascii="Arial" w:hAnsi="Arial" w:cs="Arial"/>
          <w:sz w:val="22"/>
        </w:rPr>
      </w:pPr>
    </w:p>
    <w:p w:rsidR="00C23918" w:rsidRDefault="00C23918">
      <w:pPr>
        <w:jc w:val="both"/>
        <w:rPr>
          <w:rFonts w:ascii="Arial" w:hAnsi="Arial" w:cs="Arial"/>
          <w:b/>
          <w:bCs/>
          <w:sz w:val="22"/>
        </w:rPr>
      </w:pPr>
      <w:r>
        <w:rPr>
          <w:rFonts w:ascii="Arial" w:hAnsi="Arial" w:cs="Arial"/>
          <w:b/>
          <w:bCs/>
          <w:sz w:val="22"/>
        </w:rPr>
        <w:t>No podrá financiarse a través de esta línea:</w:t>
      </w:r>
    </w:p>
    <w:p w:rsidR="00C23918" w:rsidRDefault="00C23918">
      <w:pPr>
        <w:jc w:val="both"/>
        <w:rPr>
          <w:rFonts w:ascii="Arial" w:hAnsi="Arial" w:cs="Arial"/>
          <w:sz w:val="22"/>
        </w:rPr>
      </w:pPr>
      <w:r>
        <w:rPr>
          <w:rFonts w:ascii="Arial" w:hAnsi="Arial" w:cs="Arial"/>
          <w:sz w:val="22"/>
        </w:rPr>
        <w:t>1) La compra de inmuebles rurales o de cualquier índole (campos, terrenos, yacimientos mineros).</w:t>
      </w:r>
    </w:p>
    <w:p w:rsidR="00C23918" w:rsidRDefault="00C23918">
      <w:pPr>
        <w:pStyle w:val="Textoindependiente"/>
        <w:spacing w:before="0" w:beforeAutospacing="0"/>
      </w:pPr>
      <w:r>
        <w:t>2) Vehículos para el transporte de personas, salvo aquéllos destinados a dinamizar y/o aumentar la productividad en el objeto principal del emprendimiento.</w:t>
      </w:r>
    </w:p>
    <w:p w:rsidR="00C23918" w:rsidRDefault="00C23918">
      <w:pPr>
        <w:jc w:val="both"/>
        <w:rPr>
          <w:rFonts w:ascii="Arial" w:hAnsi="Arial" w:cs="Arial"/>
          <w:sz w:val="22"/>
        </w:rPr>
      </w:pPr>
      <w:r>
        <w:rPr>
          <w:rFonts w:ascii="Arial" w:hAnsi="Arial" w:cs="Arial"/>
          <w:sz w:val="22"/>
        </w:rPr>
        <w:lastRenderedPageBreak/>
        <w:t>3) Honorarios profesionales, salvo aquellos en que los servicios profesionales a financiar sean parte del desarrollo del proyecto (ej</w:t>
      </w:r>
      <w:r w:rsidR="002867DA">
        <w:rPr>
          <w:rFonts w:ascii="Arial" w:hAnsi="Arial" w:cs="Arial"/>
          <w:sz w:val="22"/>
        </w:rPr>
        <w:t>.</w:t>
      </w:r>
      <w:r>
        <w:rPr>
          <w:rFonts w:ascii="Arial" w:hAnsi="Arial" w:cs="Arial"/>
          <w:sz w:val="22"/>
        </w:rPr>
        <w:t xml:space="preserve"> software).</w:t>
      </w:r>
    </w:p>
    <w:p w:rsidR="00C23918" w:rsidRDefault="00C23918">
      <w:pPr>
        <w:jc w:val="both"/>
        <w:rPr>
          <w:rFonts w:ascii="Arial" w:hAnsi="Arial" w:cs="Arial"/>
          <w:sz w:val="22"/>
        </w:rPr>
      </w:pPr>
      <w:r>
        <w:rPr>
          <w:rFonts w:ascii="Arial" w:hAnsi="Arial" w:cs="Arial"/>
          <w:sz w:val="22"/>
        </w:rPr>
        <w:t>4) Deudas preexistentes.</w:t>
      </w:r>
    </w:p>
    <w:p w:rsidR="000F233E" w:rsidRDefault="000F233E">
      <w:pPr>
        <w:jc w:val="both"/>
        <w:rPr>
          <w:rFonts w:ascii="Arial" w:hAnsi="Arial" w:cs="Arial"/>
          <w:sz w:val="22"/>
        </w:rPr>
      </w:pPr>
    </w:p>
    <w:p w:rsidR="00C23918" w:rsidRDefault="00C23918">
      <w:pPr>
        <w:spacing w:before="100" w:beforeAutospacing="1"/>
        <w:jc w:val="both"/>
        <w:rPr>
          <w:rFonts w:ascii="Arial" w:hAnsi="Arial" w:cs="Arial"/>
          <w:sz w:val="22"/>
        </w:rPr>
      </w:pPr>
      <w:r>
        <w:rPr>
          <w:rFonts w:ascii="Arial" w:hAnsi="Arial" w:cs="Arial"/>
          <w:b/>
          <w:color w:val="003874"/>
          <w:sz w:val="22"/>
        </w:rPr>
        <w:t>4.8. GASTOS:</w:t>
      </w:r>
      <w:r>
        <w:rPr>
          <w:rFonts w:ascii="Arial" w:hAnsi="Arial" w:cs="Arial"/>
          <w:b/>
          <w:sz w:val="22"/>
        </w:rPr>
        <w:t xml:space="preserve"> </w:t>
      </w:r>
      <w:r>
        <w:rPr>
          <w:rFonts w:ascii="Arial" w:hAnsi="Arial" w:cs="Arial"/>
          <w:sz w:val="22"/>
        </w:rPr>
        <w:t>retención en el desembolso del crédito del 5% de su valor total, cuyo destino tiene por objeto compensar la acción del Organismo Presentante o bien ser destinado a la conformación del Fondo de Reserva.</w:t>
      </w:r>
    </w:p>
    <w:p w:rsidR="0066530A" w:rsidRDefault="0066530A">
      <w:pPr>
        <w:spacing w:before="100" w:beforeAutospacing="1"/>
        <w:jc w:val="both"/>
        <w:rPr>
          <w:rFonts w:ascii="Arial" w:hAnsi="Arial" w:cs="Arial"/>
          <w:sz w:val="22"/>
        </w:rPr>
      </w:pPr>
    </w:p>
    <w:p w:rsidR="0066530A" w:rsidRPr="000D3919" w:rsidRDefault="0066530A" w:rsidP="0066530A">
      <w:pPr>
        <w:tabs>
          <w:tab w:val="left" w:pos="360"/>
        </w:tabs>
        <w:jc w:val="center"/>
        <w:rPr>
          <w:rFonts w:ascii="Arial" w:hAnsi="Arial" w:cs="Arial"/>
          <w:b/>
          <w:sz w:val="18"/>
          <w:szCs w:val="18"/>
          <w:lang w:val="es-AR"/>
        </w:rPr>
      </w:pPr>
      <w:r w:rsidRPr="000D3919">
        <w:rPr>
          <w:rFonts w:ascii="Arial" w:hAnsi="Arial" w:cs="Arial"/>
          <w:b/>
          <w:sz w:val="18"/>
          <w:szCs w:val="18"/>
          <w:lang w:val="es-AR"/>
        </w:rPr>
        <w:t>BANCO DE LA NACIÓN ARGENTINA</w:t>
      </w:r>
    </w:p>
    <w:p w:rsidR="0066530A" w:rsidRPr="000D3919" w:rsidRDefault="0066530A" w:rsidP="0066530A">
      <w:pPr>
        <w:tabs>
          <w:tab w:val="left" w:pos="360"/>
        </w:tabs>
        <w:jc w:val="center"/>
        <w:rPr>
          <w:rFonts w:ascii="Arial" w:hAnsi="Arial" w:cs="Arial"/>
          <w:b/>
          <w:sz w:val="18"/>
          <w:szCs w:val="18"/>
          <w:lang w:val="es-AR"/>
        </w:rPr>
      </w:pPr>
      <w:r w:rsidRPr="000D3919">
        <w:rPr>
          <w:rFonts w:ascii="Arial" w:hAnsi="Arial" w:cs="Arial"/>
          <w:b/>
          <w:sz w:val="18"/>
          <w:szCs w:val="18"/>
          <w:lang w:val="es-AR"/>
        </w:rPr>
        <w:t>Gestión Comercial del Desarrollo Productivo</w:t>
      </w:r>
    </w:p>
    <w:p w:rsidR="0066530A" w:rsidRDefault="0066530A" w:rsidP="0066530A">
      <w:pPr>
        <w:tabs>
          <w:tab w:val="left" w:pos="360"/>
        </w:tabs>
        <w:jc w:val="center"/>
        <w:rPr>
          <w:rFonts w:ascii="Arial" w:hAnsi="Arial" w:cs="Arial"/>
          <w:b/>
          <w:sz w:val="18"/>
          <w:szCs w:val="18"/>
          <w:lang w:val="es-AR"/>
        </w:rPr>
      </w:pPr>
      <w:r w:rsidRPr="000D3919">
        <w:rPr>
          <w:rFonts w:ascii="Arial" w:hAnsi="Arial" w:cs="Arial"/>
          <w:b/>
          <w:sz w:val="18"/>
          <w:szCs w:val="18"/>
          <w:lang w:val="es-AR"/>
        </w:rPr>
        <w:t>Bartolomé Mitre 343 1</w:t>
      </w:r>
      <w:r w:rsidRPr="000D3919">
        <w:rPr>
          <w:rFonts w:ascii="Arial" w:hAnsi="Arial" w:cs="Arial"/>
          <w:b/>
          <w:sz w:val="18"/>
          <w:szCs w:val="18"/>
          <w:vertAlign w:val="superscript"/>
          <w:lang w:val="es-AR"/>
        </w:rPr>
        <w:t>er</w:t>
      </w:r>
      <w:r w:rsidRPr="000D3919">
        <w:rPr>
          <w:rFonts w:ascii="Arial" w:hAnsi="Arial" w:cs="Arial"/>
          <w:b/>
          <w:sz w:val="18"/>
          <w:szCs w:val="18"/>
          <w:lang w:val="es-AR"/>
        </w:rPr>
        <w:t xml:space="preserve"> piso, CABA </w:t>
      </w:r>
    </w:p>
    <w:p w:rsidR="0066530A" w:rsidRDefault="0066530A" w:rsidP="0066530A">
      <w:pPr>
        <w:tabs>
          <w:tab w:val="left" w:pos="360"/>
        </w:tabs>
        <w:jc w:val="center"/>
      </w:pPr>
      <w:r w:rsidRPr="000D3919">
        <w:rPr>
          <w:rFonts w:ascii="Arial" w:hAnsi="Arial" w:cs="Arial"/>
          <w:b/>
          <w:sz w:val="18"/>
          <w:szCs w:val="18"/>
          <w:lang w:val="es-AR"/>
        </w:rPr>
        <w:t xml:space="preserve"> 4347-8723/</w:t>
      </w:r>
      <w:r>
        <w:rPr>
          <w:rFonts w:ascii="Arial" w:hAnsi="Arial" w:cs="Arial"/>
          <w:b/>
          <w:sz w:val="18"/>
          <w:szCs w:val="18"/>
          <w:lang w:val="es-AR"/>
        </w:rPr>
        <w:t>87</w:t>
      </w:r>
      <w:r w:rsidRPr="000D3919">
        <w:rPr>
          <w:rFonts w:ascii="Arial" w:hAnsi="Arial" w:cs="Arial"/>
          <w:b/>
          <w:sz w:val="18"/>
          <w:szCs w:val="18"/>
          <w:lang w:val="es-AR"/>
        </w:rPr>
        <w:t>16</w:t>
      </w:r>
      <w:bookmarkStart w:id="0" w:name="_GoBack"/>
      <w:bookmarkEnd w:id="0"/>
    </w:p>
    <w:sectPr w:rsidR="0066530A">
      <w:headerReference w:type="default" r:id="rId9"/>
      <w:footerReference w:type="default" r:id="rId10"/>
      <w:pgSz w:w="12240" w:h="15840" w:code="1"/>
      <w:pgMar w:top="136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5FF" w:rsidRDefault="005F25FF">
      <w:r>
        <w:separator/>
      </w:r>
    </w:p>
  </w:endnote>
  <w:endnote w:type="continuationSeparator" w:id="0">
    <w:p w:rsidR="005F25FF" w:rsidRDefault="005F2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98381352"/>
      <w:docPartObj>
        <w:docPartGallery w:val="Page Numbers (Top of Page)"/>
        <w:docPartUnique/>
      </w:docPartObj>
    </w:sdtPr>
    <w:sdtContent>
      <w:p w:rsidR="000F233E" w:rsidRDefault="000F233E" w:rsidP="000F233E">
        <w:pPr>
          <w:pStyle w:val="Piedepgina"/>
          <w:jc w:val="center"/>
          <w:rPr>
            <w:rFonts w:ascii="Arial" w:hAnsi="Arial" w:cs="Arial"/>
            <w:sz w:val="16"/>
            <w:szCs w:val="16"/>
          </w:rPr>
        </w:pPr>
      </w:p>
      <w:p w:rsidR="000F233E" w:rsidRPr="000F233E" w:rsidRDefault="000F233E" w:rsidP="000F233E">
        <w:pPr>
          <w:pStyle w:val="Piedepgina"/>
          <w:jc w:val="center"/>
          <w:rPr>
            <w:rFonts w:ascii="Arial" w:hAnsi="Arial" w:cs="Arial"/>
            <w:b/>
            <w:sz w:val="16"/>
            <w:szCs w:val="16"/>
          </w:rPr>
        </w:pPr>
        <w:r w:rsidRPr="000F233E">
          <w:rPr>
            <w:rFonts w:ascii="Arial" w:hAnsi="Arial" w:cs="Arial"/>
            <w:b/>
            <w:sz w:val="16"/>
            <w:szCs w:val="16"/>
          </w:rPr>
          <w:t>Lineamientos Generales FO.MICRO.</w:t>
        </w:r>
      </w:p>
      <w:p w:rsidR="000F233E" w:rsidRPr="00356DF2" w:rsidRDefault="000F233E" w:rsidP="000F233E">
        <w:pPr>
          <w:pStyle w:val="Piedepgina"/>
          <w:jc w:val="center"/>
          <w:rPr>
            <w:rFonts w:ascii="Arial" w:hAnsi="Arial" w:cs="Arial"/>
            <w:sz w:val="16"/>
            <w:szCs w:val="16"/>
          </w:rPr>
        </w:pPr>
        <w:r w:rsidRPr="00356DF2">
          <w:rPr>
            <w:rFonts w:ascii="Arial" w:hAnsi="Arial" w:cs="Arial"/>
            <w:sz w:val="16"/>
            <w:szCs w:val="16"/>
          </w:rPr>
          <w:t xml:space="preserve">Página </w:t>
        </w:r>
        <w:r w:rsidRPr="00356DF2">
          <w:rPr>
            <w:rFonts w:ascii="Arial" w:hAnsi="Arial" w:cs="Arial"/>
            <w:b/>
            <w:bCs/>
            <w:sz w:val="16"/>
            <w:szCs w:val="16"/>
          </w:rPr>
          <w:fldChar w:fldCharType="begin"/>
        </w:r>
        <w:r w:rsidRPr="00356DF2">
          <w:rPr>
            <w:rFonts w:ascii="Arial" w:hAnsi="Arial" w:cs="Arial"/>
            <w:b/>
            <w:bCs/>
            <w:sz w:val="16"/>
            <w:szCs w:val="16"/>
          </w:rPr>
          <w:instrText>PAGE</w:instrText>
        </w:r>
        <w:r w:rsidRPr="00356DF2">
          <w:rPr>
            <w:rFonts w:ascii="Arial" w:hAnsi="Arial" w:cs="Arial"/>
            <w:b/>
            <w:bCs/>
            <w:sz w:val="16"/>
            <w:szCs w:val="16"/>
          </w:rPr>
          <w:fldChar w:fldCharType="separate"/>
        </w:r>
        <w:r w:rsidR="00E325CA">
          <w:rPr>
            <w:rFonts w:ascii="Arial" w:hAnsi="Arial" w:cs="Arial"/>
            <w:b/>
            <w:bCs/>
            <w:noProof/>
            <w:sz w:val="16"/>
            <w:szCs w:val="16"/>
          </w:rPr>
          <w:t>1</w:t>
        </w:r>
        <w:r w:rsidRPr="00356DF2">
          <w:rPr>
            <w:rFonts w:ascii="Arial" w:hAnsi="Arial" w:cs="Arial"/>
            <w:b/>
            <w:bCs/>
            <w:sz w:val="16"/>
            <w:szCs w:val="16"/>
          </w:rPr>
          <w:fldChar w:fldCharType="end"/>
        </w:r>
        <w:r w:rsidRPr="00356DF2">
          <w:rPr>
            <w:rFonts w:ascii="Arial" w:hAnsi="Arial" w:cs="Arial"/>
            <w:sz w:val="16"/>
            <w:szCs w:val="16"/>
          </w:rPr>
          <w:t xml:space="preserve"> de </w:t>
        </w:r>
        <w:r w:rsidRPr="00356DF2">
          <w:rPr>
            <w:rFonts w:ascii="Arial" w:hAnsi="Arial" w:cs="Arial"/>
            <w:b/>
            <w:bCs/>
            <w:sz w:val="16"/>
            <w:szCs w:val="16"/>
          </w:rPr>
          <w:fldChar w:fldCharType="begin"/>
        </w:r>
        <w:r w:rsidRPr="00356DF2">
          <w:rPr>
            <w:rFonts w:ascii="Arial" w:hAnsi="Arial" w:cs="Arial"/>
            <w:b/>
            <w:bCs/>
            <w:sz w:val="16"/>
            <w:szCs w:val="16"/>
          </w:rPr>
          <w:instrText>NUMPAGES</w:instrText>
        </w:r>
        <w:r w:rsidRPr="00356DF2">
          <w:rPr>
            <w:rFonts w:ascii="Arial" w:hAnsi="Arial" w:cs="Arial"/>
            <w:b/>
            <w:bCs/>
            <w:sz w:val="16"/>
            <w:szCs w:val="16"/>
          </w:rPr>
          <w:fldChar w:fldCharType="separate"/>
        </w:r>
        <w:r w:rsidR="00E325CA">
          <w:rPr>
            <w:rFonts w:ascii="Arial" w:hAnsi="Arial" w:cs="Arial"/>
            <w:b/>
            <w:bCs/>
            <w:noProof/>
            <w:sz w:val="16"/>
            <w:szCs w:val="16"/>
          </w:rPr>
          <w:t>3</w:t>
        </w:r>
        <w:r w:rsidRPr="00356DF2">
          <w:rPr>
            <w:rFonts w:ascii="Arial" w:hAnsi="Arial" w:cs="Arial"/>
            <w:b/>
            <w:bCs/>
            <w:sz w:val="16"/>
            <w:szCs w:val="16"/>
          </w:rPr>
          <w:fldChar w:fldCharType="end"/>
        </w:r>
      </w:p>
    </w:sdtContent>
  </w:sdt>
  <w:p w:rsidR="000F233E" w:rsidRDefault="000F233E">
    <w:pPr>
      <w:pStyle w:val="Piedepgina"/>
    </w:pPr>
  </w:p>
  <w:p w:rsidR="000F233E" w:rsidRDefault="000F233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5FF" w:rsidRDefault="005F25FF">
      <w:r>
        <w:separator/>
      </w:r>
    </w:p>
  </w:footnote>
  <w:footnote w:type="continuationSeparator" w:id="0">
    <w:p w:rsidR="005F25FF" w:rsidRDefault="005F2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3E" w:rsidRDefault="000F233E">
    <w:pPr>
      <w:pStyle w:val="Encabezado"/>
    </w:pPr>
    <w:r>
      <w:rPr>
        <w:noProof/>
        <w:lang w:val="es-AR" w:eastAsia="es-AR"/>
      </w:rPr>
      <w:drawing>
        <wp:inline distT="0" distB="0" distL="0" distR="0" wp14:anchorId="5C1E6F2F" wp14:editId="169C586F">
          <wp:extent cx="2971800" cy="590550"/>
          <wp:effectExtent l="0" t="0" r="0" b="0"/>
          <wp:docPr id="2" name="Imagen 1" descr="Isologotipo B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logotipo B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590550"/>
                  </a:xfrm>
                  <a:prstGeom prst="rect">
                    <a:avLst/>
                  </a:prstGeom>
                  <a:noFill/>
                  <a:ln>
                    <a:noFill/>
                  </a:ln>
                </pic:spPr>
              </pic:pic>
            </a:graphicData>
          </a:graphic>
        </wp:inline>
      </w:drawing>
    </w:r>
    <w:r>
      <w:t xml:space="preserve">               </w:t>
    </w:r>
    <w:r>
      <w:rPr>
        <w:rFonts w:ascii="Arial" w:hAnsi="Arial"/>
        <w:b/>
        <w:noProof/>
        <w:color w:val="000080"/>
        <w:sz w:val="27"/>
        <w:lang w:val="es-AR" w:eastAsia="es-AR"/>
      </w:rPr>
      <w:drawing>
        <wp:inline distT="0" distB="0" distL="0" distR="0" wp14:anchorId="7C454100" wp14:editId="07DB8C1F">
          <wp:extent cx="2000250" cy="838200"/>
          <wp:effectExtent l="0" t="0" r="0" b="0"/>
          <wp:docPr id="3" name="Imagen 3" descr="logo_fomi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omicr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F4D85"/>
    <w:multiLevelType w:val="hybridMultilevel"/>
    <w:tmpl w:val="6F800BCA"/>
    <w:lvl w:ilvl="0" w:tplc="0C0A0011">
      <w:start w:val="1"/>
      <w:numFmt w:val="decimal"/>
      <w:lvlText w:val="%1)"/>
      <w:lvlJc w:val="left"/>
      <w:pPr>
        <w:tabs>
          <w:tab w:val="num" w:pos="720"/>
        </w:tabs>
        <w:ind w:left="720" w:hanging="360"/>
      </w:pPr>
      <w:rPr>
        <w:rFonts w:hint="default"/>
      </w:rPr>
    </w:lvl>
    <w:lvl w:ilvl="1" w:tplc="8C2E449E">
      <w:start w:val="3"/>
      <w:numFmt w:val="bullet"/>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4A915D2E"/>
    <w:multiLevelType w:val="hybridMultilevel"/>
    <w:tmpl w:val="C592263C"/>
    <w:lvl w:ilvl="0" w:tplc="5E265A82">
      <w:numFmt w:val="bullet"/>
      <w:lvlText w:val="-"/>
      <w:lvlJc w:val="left"/>
      <w:pPr>
        <w:tabs>
          <w:tab w:val="num" w:pos="720"/>
        </w:tabs>
        <w:ind w:left="720" w:hanging="360"/>
      </w:pPr>
      <w:rPr>
        <w:rFonts w:ascii="Times New Roman" w:eastAsia="Calibri"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E4D16D6"/>
    <w:multiLevelType w:val="hybridMultilevel"/>
    <w:tmpl w:val="3050E35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688201B6"/>
    <w:multiLevelType w:val="hybridMultilevel"/>
    <w:tmpl w:val="5EA8DA86"/>
    <w:lvl w:ilvl="0" w:tplc="0C0A0011">
      <w:start w:val="1"/>
      <w:numFmt w:val="decimal"/>
      <w:lvlText w:val="%1)"/>
      <w:lvlJc w:val="left"/>
      <w:pPr>
        <w:tabs>
          <w:tab w:val="num" w:pos="720"/>
        </w:tabs>
        <w:ind w:left="720" w:hanging="360"/>
      </w:p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74EF3DF9"/>
    <w:multiLevelType w:val="hybridMultilevel"/>
    <w:tmpl w:val="5EA8DA8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7E641279"/>
    <w:multiLevelType w:val="hybridMultilevel"/>
    <w:tmpl w:val="D32AAB1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cumentProtection w:edit="readOnly" w:enforcement="1" w:cryptProviderType="rsaFull" w:cryptAlgorithmClass="hash" w:cryptAlgorithmType="typeAny" w:cryptAlgorithmSid="4" w:cryptSpinCount="100000" w:hash="S+MLqvXeswL8JBMu6PuzfSe3Pxw=" w:salt="VTIwjsebYTfvSpQJI/JHiA=="/>
  <w:defaultTabStop w:val="708"/>
  <w:hyphenationZone w:val="425"/>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E92"/>
    <w:rsid w:val="000D3919"/>
    <w:rsid w:val="000F233E"/>
    <w:rsid w:val="00195C20"/>
    <w:rsid w:val="001A4CA2"/>
    <w:rsid w:val="001A6141"/>
    <w:rsid w:val="001A7521"/>
    <w:rsid w:val="00247ED7"/>
    <w:rsid w:val="00250372"/>
    <w:rsid w:val="002867DA"/>
    <w:rsid w:val="00323D88"/>
    <w:rsid w:val="0033789B"/>
    <w:rsid w:val="00356DF2"/>
    <w:rsid w:val="003A37E8"/>
    <w:rsid w:val="003E13A9"/>
    <w:rsid w:val="005325F7"/>
    <w:rsid w:val="00535933"/>
    <w:rsid w:val="00550103"/>
    <w:rsid w:val="00570A08"/>
    <w:rsid w:val="0059580D"/>
    <w:rsid w:val="005E578F"/>
    <w:rsid w:val="005F25FF"/>
    <w:rsid w:val="006055A8"/>
    <w:rsid w:val="00620E92"/>
    <w:rsid w:val="00624BC5"/>
    <w:rsid w:val="0066530A"/>
    <w:rsid w:val="00672E10"/>
    <w:rsid w:val="006A5D6A"/>
    <w:rsid w:val="008030B6"/>
    <w:rsid w:val="0085192A"/>
    <w:rsid w:val="008B1EDF"/>
    <w:rsid w:val="008B4E76"/>
    <w:rsid w:val="00931B29"/>
    <w:rsid w:val="009329EF"/>
    <w:rsid w:val="009867DB"/>
    <w:rsid w:val="00A05DE3"/>
    <w:rsid w:val="00A2365A"/>
    <w:rsid w:val="00A540EA"/>
    <w:rsid w:val="00C1609A"/>
    <w:rsid w:val="00C23918"/>
    <w:rsid w:val="00D02629"/>
    <w:rsid w:val="00D61F8B"/>
    <w:rsid w:val="00E325CA"/>
    <w:rsid w:val="00EC69B7"/>
    <w:rsid w:val="00F20DB1"/>
    <w:rsid w:val="00FE0BB7"/>
    <w:rsid w:val="00FF7B7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spacing w:before="100" w:beforeAutospacing="1"/>
      <w:jc w:val="center"/>
      <w:outlineLvl w:val="0"/>
    </w:pPr>
    <w:rPr>
      <w:rFonts w:ascii="Arial" w:hAnsi="Arial" w:cs="Arial"/>
      <w:b/>
      <w:sz w:val="22"/>
    </w:rPr>
  </w:style>
  <w:style w:type="paragraph" w:styleId="Ttulo2">
    <w:name w:val="heading 2"/>
    <w:basedOn w:val="Normal"/>
    <w:next w:val="Normal"/>
    <w:qFormat/>
    <w:pPr>
      <w:keepNext/>
      <w:spacing w:before="100" w:beforeAutospacing="1"/>
      <w:jc w:val="both"/>
      <w:outlineLvl w:val="1"/>
    </w:pPr>
    <w:rPr>
      <w:rFonts w:ascii="Arial" w:hAnsi="Arial" w:cs="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spacing w:before="100" w:beforeAutospacing="1"/>
      <w:jc w:val="both"/>
    </w:pPr>
    <w:rPr>
      <w:rFonts w:ascii="Arial" w:hAnsi="Arial" w:cs="Arial"/>
      <w:sz w:val="22"/>
    </w:rPr>
  </w:style>
  <w:style w:type="paragraph" w:styleId="Sangra3detindependiente">
    <w:name w:val="Body Text Indent 3"/>
    <w:basedOn w:val="Normal"/>
    <w:semiHidden/>
    <w:pPr>
      <w:ind w:left="1021" w:hanging="284"/>
      <w:jc w:val="both"/>
    </w:pPr>
    <w:rPr>
      <w:szCs w:val="20"/>
    </w:rPr>
  </w:style>
  <w:style w:type="paragraph" w:styleId="Textoindependiente2">
    <w:name w:val="Body Text 2"/>
    <w:basedOn w:val="Normal"/>
    <w:semiHidden/>
    <w:pPr>
      <w:spacing w:before="100" w:beforeAutospacing="1"/>
      <w:jc w:val="center"/>
    </w:pPr>
    <w:rPr>
      <w:rFonts w:ascii="Arial" w:hAnsi="Arial" w:cs="Arial"/>
      <w:b/>
      <w:sz w:val="22"/>
    </w:rPr>
  </w:style>
  <w:style w:type="paragraph" w:styleId="Textoindependiente3">
    <w:name w:val="Body Text 3"/>
    <w:basedOn w:val="Normal"/>
    <w:semiHidden/>
    <w:pPr>
      <w:spacing w:before="100" w:beforeAutospacing="1"/>
      <w:jc w:val="both"/>
    </w:pPr>
    <w:rPr>
      <w:rFonts w:ascii="Arial" w:hAnsi="Arial" w:cs="Arial"/>
      <w:sz w:val="22"/>
      <w:u w:val="single"/>
    </w:r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emiHidden/>
  </w:style>
  <w:style w:type="paragraph" w:styleId="Encabezado">
    <w:name w:val="header"/>
    <w:basedOn w:val="Normal"/>
    <w:semiHidden/>
    <w:pPr>
      <w:tabs>
        <w:tab w:val="center" w:pos="4419"/>
        <w:tab w:val="right" w:pos="8838"/>
      </w:tabs>
    </w:pPr>
  </w:style>
  <w:style w:type="paragraph" w:styleId="Sangradetextonormal">
    <w:name w:val="Body Text Indent"/>
    <w:basedOn w:val="Normal"/>
    <w:semiHidden/>
    <w:pPr>
      <w:ind w:firstLine="360"/>
      <w:jc w:val="both"/>
    </w:pPr>
    <w:rPr>
      <w:rFonts w:ascii="Arial" w:hAnsi="Arial" w:cs="Arial"/>
      <w:sz w:val="22"/>
    </w:rPr>
  </w:style>
  <w:style w:type="paragraph" w:styleId="Textodeglobo">
    <w:name w:val="Balloon Text"/>
    <w:basedOn w:val="Normal"/>
    <w:link w:val="TextodegloboCar"/>
    <w:uiPriority w:val="99"/>
    <w:semiHidden/>
    <w:unhideWhenUsed/>
    <w:rsid w:val="002867DA"/>
    <w:rPr>
      <w:rFonts w:ascii="Tahoma" w:hAnsi="Tahoma" w:cs="Tahoma"/>
      <w:sz w:val="16"/>
      <w:szCs w:val="16"/>
    </w:rPr>
  </w:style>
  <w:style w:type="character" w:customStyle="1" w:styleId="TextodegloboCar">
    <w:name w:val="Texto de globo Car"/>
    <w:link w:val="Textodeglobo"/>
    <w:uiPriority w:val="99"/>
    <w:semiHidden/>
    <w:rsid w:val="002867DA"/>
    <w:rPr>
      <w:rFonts w:ascii="Tahoma" w:hAnsi="Tahoma" w:cs="Tahoma"/>
      <w:sz w:val="16"/>
      <w:szCs w:val="16"/>
      <w:lang w:val="es-ES" w:eastAsia="es-ES"/>
    </w:rPr>
  </w:style>
  <w:style w:type="character" w:customStyle="1" w:styleId="PiedepginaCar">
    <w:name w:val="Pie de página Car"/>
    <w:link w:val="Piedepgina"/>
    <w:uiPriority w:val="99"/>
    <w:rsid w:val="003A37E8"/>
    <w:rPr>
      <w:sz w:val="24"/>
      <w:szCs w:val="24"/>
      <w:lang w:val="es-ES" w:eastAsia="es-ES"/>
    </w:rPr>
  </w:style>
  <w:style w:type="character" w:styleId="Textodelmarcadordeposicin">
    <w:name w:val="Placeholder Text"/>
    <w:basedOn w:val="Fuentedeprrafopredeter"/>
    <w:uiPriority w:val="99"/>
    <w:semiHidden/>
    <w:rsid w:val="005325F7"/>
    <w:rPr>
      <w:color w:val="808080"/>
    </w:rPr>
  </w:style>
  <w:style w:type="paragraph" w:styleId="Prrafodelista">
    <w:name w:val="List Paragraph"/>
    <w:basedOn w:val="Normal"/>
    <w:uiPriority w:val="34"/>
    <w:qFormat/>
    <w:rsid w:val="000F23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spacing w:before="100" w:beforeAutospacing="1"/>
      <w:jc w:val="center"/>
      <w:outlineLvl w:val="0"/>
    </w:pPr>
    <w:rPr>
      <w:rFonts w:ascii="Arial" w:hAnsi="Arial" w:cs="Arial"/>
      <w:b/>
      <w:sz w:val="22"/>
    </w:rPr>
  </w:style>
  <w:style w:type="paragraph" w:styleId="Ttulo2">
    <w:name w:val="heading 2"/>
    <w:basedOn w:val="Normal"/>
    <w:next w:val="Normal"/>
    <w:qFormat/>
    <w:pPr>
      <w:keepNext/>
      <w:spacing w:before="100" w:beforeAutospacing="1"/>
      <w:jc w:val="both"/>
      <w:outlineLvl w:val="1"/>
    </w:pPr>
    <w:rPr>
      <w:rFonts w:ascii="Arial" w:hAnsi="Arial" w:cs="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spacing w:before="100" w:beforeAutospacing="1"/>
      <w:jc w:val="both"/>
    </w:pPr>
    <w:rPr>
      <w:rFonts w:ascii="Arial" w:hAnsi="Arial" w:cs="Arial"/>
      <w:sz w:val="22"/>
    </w:rPr>
  </w:style>
  <w:style w:type="paragraph" w:styleId="Sangra3detindependiente">
    <w:name w:val="Body Text Indent 3"/>
    <w:basedOn w:val="Normal"/>
    <w:semiHidden/>
    <w:pPr>
      <w:ind w:left="1021" w:hanging="284"/>
      <w:jc w:val="both"/>
    </w:pPr>
    <w:rPr>
      <w:szCs w:val="20"/>
    </w:rPr>
  </w:style>
  <w:style w:type="paragraph" w:styleId="Textoindependiente2">
    <w:name w:val="Body Text 2"/>
    <w:basedOn w:val="Normal"/>
    <w:semiHidden/>
    <w:pPr>
      <w:spacing w:before="100" w:beforeAutospacing="1"/>
      <w:jc w:val="center"/>
    </w:pPr>
    <w:rPr>
      <w:rFonts w:ascii="Arial" w:hAnsi="Arial" w:cs="Arial"/>
      <w:b/>
      <w:sz w:val="22"/>
    </w:rPr>
  </w:style>
  <w:style w:type="paragraph" w:styleId="Textoindependiente3">
    <w:name w:val="Body Text 3"/>
    <w:basedOn w:val="Normal"/>
    <w:semiHidden/>
    <w:pPr>
      <w:spacing w:before="100" w:beforeAutospacing="1"/>
      <w:jc w:val="both"/>
    </w:pPr>
    <w:rPr>
      <w:rFonts w:ascii="Arial" w:hAnsi="Arial" w:cs="Arial"/>
      <w:sz w:val="22"/>
      <w:u w:val="single"/>
    </w:r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emiHidden/>
  </w:style>
  <w:style w:type="paragraph" w:styleId="Encabezado">
    <w:name w:val="header"/>
    <w:basedOn w:val="Normal"/>
    <w:semiHidden/>
    <w:pPr>
      <w:tabs>
        <w:tab w:val="center" w:pos="4419"/>
        <w:tab w:val="right" w:pos="8838"/>
      </w:tabs>
    </w:pPr>
  </w:style>
  <w:style w:type="paragraph" w:styleId="Sangradetextonormal">
    <w:name w:val="Body Text Indent"/>
    <w:basedOn w:val="Normal"/>
    <w:semiHidden/>
    <w:pPr>
      <w:ind w:firstLine="360"/>
      <w:jc w:val="both"/>
    </w:pPr>
    <w:rPr>
      <w:rFonts w:ascii="Arial" w:hAnsi="Arial" w:cs="Arial"/>
      <w:sz w:val="22"/>
    </w:rPr>
  </w:style>
  <w:style w:type="paragraph" w:styleId="Textodeglobo">
    <w:name w:val="Balloon Text"/>
    <w:basedOn w:val="Normal"/>
    <w:link w:val="TextodegloboCar"/>
    <w:uiPriority w:val="99"/>
    <w:semiHidden/>
    <w:unhideWhenUsed/>
    <w:rsid w:val="002867DA"/>
    <w:rPr>
      <w:rFonts w:ascii="Tahoma" w:hAnsi="Tahoma" w:cs="Tahoma"/>
      <w:sz w:val="16"/>
      <w:szCs w:val="16"/>
    </w:rPr>
  </w:style>
  <w:style w:type="character" w:customStyle="1" w:styleId="TextodegloboCar">
    <w:name w:val="Texto de globo Car"/>
    <w:link w:val="Textodeglobo"/>
    <w:uiPriority w:val="99"/>
    <w:semiHidden/>
    <w:rsid w:val="002867DA"/>
    <w:rPr>
      <w:rFonts w:ascii="Tahoma" w:hAnsi="Tahoma" w:cs="Tahoma"/>
      <w:sz w:val="16"/>
      <w:szCs w:val="16"/>
      <w:lang w:val="es-ES" w:eastAsia="es-ES"/>
    </w:rPr>
  </w:style>
  <w:style w:type="character" w:customStyle="1" w:styleId="PiedepginaCar">
    <w:name w:val="Pie de página Car"/>
    <w:link w:val="Piedepgina"/>
    <w:uiPriority w:val="99"/>
    <w:rsid w:val="003A37E8"/>
    <w:rPr>
      <w:sz w:val="24"/>
      <w:szCs w:val="24"/>
      <w:lang w:val="es-ES" w:eastAsia="es-ES"/>
    </w:rPr>
  </w:style>
  <w:style w:type="character" w:styleId="Textodelmarcadordeposicin">
    <w:name w:val="Placeholder Text"/>
    <w:basedOn w:val="Fuentedeprrafopredeter"/>
    <w:uiPriority w:val="99"/>
    <w:semiHidden/>
    <w:rsid w:val="005325F7"/>
    <w:rPr>
      <w:color w:val="808080"/>
    </w:rPr>
  </w:style>
  <w:style w:type="paragraph" w:styleId="Prrafodelista">
    <w:name w:val="List Paragraph"/>
    <w:basedOn w:val="Normal"/>
    <w:uiPriority w:val="34"/>
    <w:qFormat/>
    <w:rsid w:val="000F23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59D"/>
    <w:rsid w:val="00F3659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8F3EE18D6654448B0684CC23F90DD70">
    <w:name w:val="28F3EE18D6654448B0684CC23F90DD70"/>
    <w:rsid w:val="00F3659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8F3EE18D6654448B0684CC23F90DD70">
    <w:name w:val="28F3EE18D6654448B0684CC23F90DD70"/>
    <w:rsid w:val="00F365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4A427-A07C-46CA-88BF-0C3060CE5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3735</Characters>
  <Application>Microsoft Office Word</Application>
  <DocSecurity>8</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2014-10-21T17:36:00Z</dcterms:created>
  <dcterms:modified xsi:type="dcterms:W3CDTF">2014-10-21T17:36:00Z</dcterms:modified>
</cp:coreProperties>
</file>